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BE06" w14:textId="15B8379A" w:rsidR="0019708B" w:rsidRDefault="0019708B">
      <w:pPr>
        <w:rPr>
          <w:sz w:val="22"/>
          <w:szCs w:val="24"/>
        </w:rPr>
      </w:pPr>
      <w:r>
        <w:rPr>
          <w:rFonts w:hint="eastAsia"/>
          <w:sz w:val="22"/>
          <w:szCs w:val="24"/>
        </w:rPr>
        <w:t>「</w:t>
      </w:r>
      <w:r w:rsidR="00C65F14" w:rsidRPr="00C65F14">
        <w:rPr>
          <w:rFonts w:hint="eastAsia"/>
          <w:sz w:val="22"/>
          <w:szCs w:val="24"/>
        </w:rPr>
        <w:t>国際卓越研究大学法施行規則を定める省令（案）</w:t>
      </w:r>
      <w:r>
        <w:rPr>
          <w:rFonts w:hint="eastAsia"/>
          <w:sz w:val="22"/>
          <w:szCs w:val="24"/>
        </w:rPr>
        <w:t>」に対する</w:t>
      </w:r>
      <w:r w:rsidR="00C65F14" w:rsidRPr="00C65F14">
        <w:rPr>
          <w:rFonts w:hint="eastAsia"/>
          <w:sz w:val="22"/>
          <w:szCs w:val="24"/>
        </w:rPr>
        <w:t>意見</w:t>
      </w:r>
    </w:p>
    <w:p w14:paraId="5ABEE589" w14:textId="5739CD82" w:rsidR="0019708B" w:rsidRDefault="0019708B">
      <w:pPr>
        <w:rPr>
          <w:sz w:val="22"/>
          <w:szCs w:val="24"/>
        </w:rPr>
      </w:pPr>
    </w:p>
    <w:p w14:paraId="5F8DE7C4" w14:textId="2366EBC1" w:rsidR="00E41C89" w:rsidRDefault="00E41C89">
      <w:pPr>
        <w:rPr>
          <w:rFonts w:ascii="Century" w:hAnsi="Century"/>
          <w:color w:val="000000" w:themeColor="text1"/>
          <w:sz w:val="22"/>
          <w:szCs w:val="24"/>
        </w:rPr>
      </w:pPr>
      <w:r>
        <w:rPr>
          <w:rFonts w:hint="eastAsia"/>
          <w:sz w:val="22"/>
          <w:szCs w:val="24"/>
        </w:rPr>
        <w:t xml:space="preserve">　</w:t>
      </w:r>
      <w:r w:rsidR="000F43F1">
        <w:rPr>
          <w:rFonts w:hint="eastAsia"/>
          <w:sz w:val="22"/>
          <w:szCs w:val="24"/>
        </w:rPr>
        <w:t>今回、パブリックコメントが実施されている、「</w:t>
      </w:r>
      <w:r w:rsidR="000F43F1" w:rsidRPr="00C65F14">
        <w:rPr>
          <w:rFonts w:hint="eastAsia"/>
          <w:sz w:val="22"/>
          <w:szCs w:val="24"/>
        </w:rPr>
        <w:t>国際卓越研究大学法施行規則を定める省令（案）</w:t>
      </w:r>
      <w:r w:rsidR="000F43F1">
        <w:rPr>
          <w:rFonts w:hint="eastAsia"/>
          <w:sz w:val="22"/>
          <w:szCs w:val="24"/>
        </w:rPr>
        <w:t>」ならびに</w:t>
      </w:r>
      <w:r w:rsidR="000F43F1" w:rsidRPr="00E41C89">
        <w:rPr>
          <w:rFonts w:hint="eastAsia"/>
          <w:sz w:val="22"/>
          <w:szCs w:val="24"/>
        </w:rPr>
        <w:t>「国際卓越研究大学の研究及び研究成果の活用のための体制の強化の推進に関する基本的な方針（素案）」</w:t>
      </w:r>
      <w:r w:rsidR="000F43F1">
        <w:rPr>
          <w:rFonts w:hint="eastAsia"/>
          <w:sz w:val="22"/>
          <w:szCs w:val="24"/>
        </w:rPr>
        <w:t>によって、「</w:t>
      </w:r>
      <w:r w:rsidR="000F43F1" w:rsidRPr="00C65F14">
        <w:rPr>
          <w:rFonts w:hint="eastAsia"/>
          <w:sz w:val="22"/>
          <w:szCs w:val="24"/>
        </w:rPr>
        <w:t>国際卓越研究大学</w:t>
      </w:r>
      <w:r w:rsidR="000F43F1">
        <w:rPr>
          <w:rFonts w:hint="eastAsia"/>
          <w:sz w:val="22"/>
          <w:szCs w:val="24"/>
        </w:rPr>
        <w:t>」制度が</w:t>
      </w:r>
      <w:r w:rsidR="000F43F1">
        <w:rPr>
          <w:rFonts w:ascii="Century" w:hAnsi="Century" w:hint="eastAsia"/>
          <w:color w:val="000000" w:themeColor="text1"/>
          <w:sz w:val="22"/>
          <w:szCs w:val="24"/>
        </w:rPr>
        <w:t>教育基本法、学校教育法が規定する大学の目的を大きく逸脱し、経済的価値の追求を学問研究の目的とすることを要求するものであり、</w:t>
      </w:r>
      <w:r w:rsidR="000167C9">
        <w:rPr>
          <w:rFonts w:ascii="Century" w:hAnsi="Century" w:hint="eastAsia"/>
          <w:color w:val="000000" w:themeColor="text1"/>
          <w:sz w:val="22"/>
          <w:szCs w:val="24"/>
        </w:rPr>
        <w:t>学問の自由と大学の自治を脅かすとともに、経済的価値による学問分野の選別・序列化を招き、学術全体の発展を阻害しかねないことが明白になった。</w:t>
      </w:r>
    </w:p>
    <w:p w14:paraId="3E6F1FA2" w14:textId="5570970C" w:rsidR="000167C9" w:rsidRDefault="000167C9">
      <w:pPr>
        <w:rPr>
          <w:sz w:val="22"/>
          <w:szCs w:val="24"/>
        </w:rPr>
      </w:pPr>
      <w:r>
        <w:rPr>
          <w:rFonts w:ascii="Century" w:hAnsi="Century" w:hint="eastAsia"/>
          <w:color w:val="000000" w:themeColor="text1"/>
          <w:sz w:val="22"/>
          <w:szCs w:val="24"/>
        </w:rPr>
        <w:t xml:space="preserve">　したがって、</w:t>
      </w:r>
      <w:r>
        <w:rPr>
          <w:rFonts w:hint="eastAsia"/>
          <w:sz w:val="22"/>
          <w:szCs w:val="24"/>
        </w:rPr>
        <w:t>「</w:t>
      </w:r>
      <w:r w:rsidRPr="00C65F14">
        <w:rPr>
          <w:rFonts w:hint="eastAsia"/>
          <w:sz w:val="22"/>
          <w:szCs w:val="24"/>
        </w:rPr>
        <w:t>国際卓越研究大学</w:t>
      </w:r>
      <w:r>
        <w:rPr>
          <w:rFonts w:hint="eastAsia"/>
          <w:sz w:val="22"/>
          <w:szCs w:val="24"/>
        </w:rPr>
        <w:t>」制度を実行するための施行規則を定めること</w:t>
      </w:r>
      <w:r w:rsidR="002D7541">
        <w:rPr>
          <w:rFonts w:hint="eastAsia"/>
          <w:sz w:val="22"/>
          <w:szCs w:val="24"/>
        </w:rPr>
        <w:t>そのもの</w:t>
      </w:r>
      <w:r>
        <w:rPr>
          <w:rFonts w:hint="eastAsia"/>
          <w:sz w:val="22"/>
          <w:szCs w:val="24"/>
        </w:rPr>
        <w:t>に反対する。</w:t>
      </w:r>
    </w:p>
    <w:p w14:paraId="2BA39709" w14:textId="5E9E3F5C" w:rsidR="00B14534" w:rsidRDefault="00B14534">
      <w:pPr>
        <w:rPr>
          <w:sz w:val="22"/>
          <w:szCs w:val="24"/>
        </w:rPr>
      </w:pPr>
    </w:p>
    <w:p w14:paraId="77F1A0DB" w14:textId="77777777" w:rsidR="000167C9" w:rsidRDefault="000167C9">
      <w:pPr>
        <w:rPr>
          <w:sz w:val="22"/>
          <w:szCs w:val="24"/>
        </w:rPr>
      </w:pPr>
    </w:p>
    <w:p w14:paraId="3AAA3D05" w14:textId="77777777" w:rsidR="00B14534" w:rsidRDefault="00B14534">
      <w:pPr>
        <w:rPr>
          <w:sz w:val="22"/>
          <w:szCs w:val="24"/>
        </w:rPr>
      </w:pPr>
    </w:p>
    <w:p w14:paraId="13DC35BB" w14:textId="00A4FD67" w:rsidR="006832E0" w:rsidRDefault="0019708B">
      <w:r w:rsidRPr="00E41C89">
        <w:rPr>
          <w:rFonts w:hint="eastAsia"/>
          <w:sz w:val="22"/>
          <w:szCs w:val="24"/>
        </w:rPr>
        <w:t>「国際卓越研究大学の研究及び研究成果の活用のための体制の強化の推進に関する基本的な方針（素案）」に対する意見</w:t>
      </w:r>
    </w:p>
    <w:p w14:paraId="6A9C93D6" w14:textId="77777777" w:rsidR="0019708B" w:rsidRDefault="0019708B"/>
    <w:p w14:paraId="26C1F3F2" w14:textId="38EF7589" w:rsidR="00C65F14" w:rsidRDefault="000F43F1" w:rsidP="0019708B">
      <w:pPr>
        <w:ind w:firstLineChars="100" w:firstLine="210"/>
      </w:pPr>
      <w:r>
        <w:rPr>
          <w:rFonts w:hint="eastAsia"/>
        </w:rPr>
        <w:t>標記</w:t>
      </w:r>
      <w:r w:rsidR="0019708B">
        <w:rPr>
          <w:rFonts w:hint="eastAsia"/>
        </w:rPr>
        <w:t>「基本</w:t>
      </w:r>
      <w:r>
        <w:rPr>
          <w:rFonts w:hint="eastAsia"/>
        </w:rPr>
        <w:t>的な</w:t>
      </w:r>
      <w:r w:rsidR="0019708B">
        <w:rPr>
          <w:rFonts w:hint="eastAsia"/>
        </w:rPr>
        <w:t>方針（素案）」</w:t>
      </w:r>
      <w:r>
        <w:rPr>
          <w:rFonts w:hint="eastAsia"/>
        </w:rPr>
        <w:t>ならびに</w:t>
      </w:r>
      <w:r>
        <w:rPr>
          <w:rFonts w:hint="eastAsia"/>
          <w:sz w:val="22"/>
          <w:szCs w:val="24"/>
        </w:rPr>
        <w:t>「</w:t>
      </w:r>
      <w:r w:rsidRPr="00C65F14">
        <w:rPr>
          <w:rFonts w:hint="eastAsia"/>
          <w:sz w:val="22"/>
          <w:szCs w:val="24"/>
        </w:rPr>
        <w:t>国際卓越研究大学法施行規則を定める省令（案）</w:t>
      </w:r>
      <w:r>
        <w:rPr>
          <w:rFonts w:hint="eastAsia"/>
          <w:sz w:val="22"/>
          <w:szCs w:val="24"/>
        </w:rPr>
        <w:t>」</w:t>
      </w:r>
      <w:r w:rsidR="00C65F14">
        <w:rPr>
          <w:rFonts w:hint="eastAsia"/>
        </w:rPr>
        <w:t>に示された</w:t>
      </w:r>
      <w:r>
        <w:rPr>
          <w:rFonts w:hint="eastAsia"/>
        </w:rPr>
        <w:t>、</w:t>
      </w:r>
      <w:r w:rsidR="00C65F14">
        <w:rPr>
          <w:rFonts w:hint="eastAsia"/>
        </w:rPr>
        <w:t>国際卓越</w:t>
      </w:r>
      <w:r w:rsidR="00FB1D3F">
        <w:rPr>
          <w:rFonts w:hint="eastAsia"/>
        </w:rPr>
        <w:t>研究大学の</w:t>
      </w:r>
      <w:r w:rsidR="004A5C2D">
        <w:rPr>
          <w:rFonts w:hint="eastAsia"/>
        </w:rPr>
        <w:t>「</w:t>
      </w:r>
      <w:r w:rsidR="00FB1D3F">
        <w:rPr>
          <w:rFonts w:hint="eastAsia"/>
        </w:rPr>
        <w:t>認定</w:t>
      </w:r>
      <w:r w:rsidR="004A5C2D">
        <w:rPr>
          <w:rFonts w:hint="eastAsia"/>
        </w:rPr>
        <w:t>に関する</w:t>
      </w:r>
      <w:r w:rsidR="00FB1D3F">
        <w:rPr>
          <w:rFonts w:hint="eastAsia"/>
        </w:rPr>
        <w:t>基準</w:t>
      </w:r>
      <w:r w:rsidR="004A5C2D">
        <w:rPr>
          <w:rFonts w:hint="eastAsia"/>
        </w:rPr>
        <w:t>」</w:t>
      </w:r>
      <w:r w:rsidR="0031029C">
        <w:rPr>
          <w:rFonts w:hint="eastAsia"/>
        </w:rPr>
        <w:t>（以下、認定基準）ならびに「国際卓越研究大学研究等体制強化計画の認可に関する基準」（以下、</w:t>
      </w:r>
      <w:r w:rsidR="00A03B06">
        <w:rPr>
          <w:rFonts w:hint="eastAsia"/>
        </w:rPr>
        <w:t>計画</w:t>
      </w:r>
      <w:r w:rsidR="0031029C">
        <w:rPr>
          <w:rFonts w:hint="eastAsia"/>
        </w:rPr>
        <w:t>認可基準）</w:t>
      </w:r>
      <w:r w:rsidR="0019708B">
        <w:rPr>
          <w:rFonts w:hint="eastAsia"/>
        </w:rPr>
        <w:t>は、まさしく「稼げる大学」に変貌できるポテンシャルのある大学を選定し、大学を営利事業機関とするための基準</w:t>
      </w:r>
      <w:r w:rsidR="00521DAF">
        <w:rPr>
          <w:rFonts w:hint="eastAsia"/>
        </w:rPr>
        <w:t>となっている</w:t>
      </w:r>
      <w:r w:rsidR="0019708B">
        <w:rPr>
          <w:rFonts w:hint="eastAsia"/>
        </w:rPr>
        <w:t>。</w:t>
      </w:r>
      <w:r w:rsidR="00E41C89">
        <w:rPr>
          <w:rFonts w:hint="eastAsia"/>
        </w:rPr>
        <w:t>以下の理由から、「基本的な方針（素案）」に反対する。</w:t>
      </w:r>
    </w:p>
    <w:p w14:paraId="34A851AB" w14:textId="1A19C0E8" w:rsidR="00521DAF" w:rsidRDefault="00521DAF" w:rsidP="00521DAF">
      <w:r>
        <w:rPr>
          <w:rFonts w:hint="eastAsia"/>
        </w:rPr>
        <w:t>（１）大学の目的を</w:t>
      </w:r>
      <w:r w:rsidR="009109A0">
        <w:rPr>
          <w:rFonts w:hint="eastAsia"/>
        </w:rPr>
        <w:t>経済的価値に従属させるもの</w:t>
      </w:r>
      <w:r>
        <w:rPr>
          <w:rFonts w:hint="eastAsia"/>
        </w:rPr>
        <w:t>であり、容認できない</w:t>
      </w:r>
    </w:p>
    <w:p w14:paraId="17B7D006" w14:textId="77777777" w:rsidR="004A5C2D" w:rsidRDefault="0019708B" w:rsidP="0019708B">
      <w:pPr>
        <w:ind w:firstLineChars="100" w:firstLine="220"/>
        <w:rPr>
          <w:rFonts w:ascii="Century" w:hAnsi="Century"/>
          <w:color w:val="000000" w:themeColor="text1"/>
          <w:sz w:val="22"/>
          <w:szCs w:val="24"/>
        </w:rPr>
      </w:pPr>
      <w:r w:rsidRPr="00837B5B">
        <w:rPr>
          <w:rFonts w:ascii="Century" w:hAnsi="Century"/>
          <w:color w:val="000000" w:themeColor="text1"/>
          <w:sz w:val="22"/>
          <w:szCs w:val="24"/>
        </w:rPr>
        <w:t>本来、大学における研究活動が追求するのは真理の探究</w:t>
      </w:r>
      <w:r>
        <w:rPr>
          <w:rFonts w:ascii="Century" w:hAnsi="Century" w:hint="eastAsia"/>
          <w:color w:val="000000" w:themeColor="text1"/>
          <w:sz w:val="22"/>
          <w:szCs w:val="24"/>
        </w:rPr>
        <w:t>による新たな知見の創出</w:t>
      </w:r>
      <w:r w:rsidRPr="00837B5B">
        <w:rPr>
          <w:rFonts w:ascii="Century" w:hAnsi="Century"/>
          <w:color w:val="000000" w:themeColor="text1"/>
          <w:sz w:val="22"/>
          <w:szCs w:val="24"/>
        </w:rPr>
        <w:t>であり、それ以外ではない。発見された真理が結果的に新たな産業を生み出し、大きな経済的価値につながることが</w:t>
      </w:r>
      <w:r>
        <w:rPr>
          <w:rFonts w:ascii="Century" w:hAnsi="Century" w:hint="eastAsia"/>
          <w:color w:val="000000" w:themeColor="text1"/>
          <w:sz w:val="22"/>
          <w:szCs w:val="24"/>
        </w:rPr>
        <w:t>あり得るとしても</w:t>
      </w:r>
      <w:r w:rsidRPr="00837B5B">
        <w:rPr>
          <w:rFonts w:ascii="Century" w:hAnsi="Century"/>
          <w:color w:val="000000" w:themeColor="text1"/>
          <w:sz w:val="22"/>
          <w:szCs w:val="24"/>
        </w:rPr>
        <w:t>、それはあくまでも副次的な結果である。</w:t>
      </w:r>
    </w:p>
    <w:p w14:paraId="79AE8CAE" w14:textId="26729ABD" w:rsidR="004A5C2D" w:rsidRDefault="004A5C2D" w:rsidP="0019708B">
      <w:pPr>
        <w:ind w:firstLineChars="100" w:firstLine="220"/>
        <w:rPr>
          <w:rFonts w:ascii="Century" w:hAnsi="Century"/>
          <w:color w:val="000000" w:themeColor="text1"/>
          <w:sz w:val="22"/>
          <w:szCs w:val="24"/>
        </w:rPr>
      </w:pPr>
      <w:r>
        <w:rPr>
          <w:rFonts w:ascii="Century" w:hAnsi="Century" w:hint="eastAsia"/>
          <w:color w:val="000000" w:themeColor="text1"/>
          <w:sz w:val="22"/>
          <w:szCs w:val="24"/>
        </w:rPr>
        <w:t>しかし認定基準は、「研究成果の活用の体制が、経済社会の変化をもたらすインパクトの創出に必要なものとして整備されている」ことを前提と</w:t>
      </w:r>
      <w:r w:rsidR="009D3809">
        <w:rPr>
          <w:rFonts w:ascii="Century" w:hAnsi="Century" w:hint="eastAsia"/>
          <w:color w:val="000000" w:themeColor="text1"/>
          <w:sz w:val="22"/>
          <w:szCs w:val="24"/>
        </w:rPr>
        <w:t>してい</w:t>
      </w:r>
      <w:r>
        <w:rPr>
          <w:rFonts w:ascii="Century" w:hAnsi="Century" w:hint="eastAsia"/>
          <w:color w:val="000000" w:themeColor="text1"/>
          <w:sz w:val="22"/>
          <w:szCs w:val="24"/>
        </w:rPr>
        <w:t>る。教育基本法、学校教育法が規定する大学の目的を大きく逸脱するもので</w:t>
      </w:r>
      <w:r w:rsidR="009D3809">
        <w:rPr>
          <w:rFonts w:ascii="Century" w:hAnsi="Century" w:hint="eastAsia"/>
          <w:color w:val="000000" w:themeColor="text1"/>
          <w:sz w:val="22"/>
          <w:szCs w:val="24"/>
        </w:rPr>
        <w:t>あ</w:t>
      </w:r>
      <w:r w:rsidR="000167C9">
        <w:rPr>
          <w:rFonts w:ascii="Century" w:hAnsi="Century" w:hint="eastAsia"/>
          <w:color w:val="000000" w:themeColor="text1"/>
          <w:sz w:val="22"/>
          <w:szCs w:val="24"/>
        </w:rPr>
        <w:t>る。よって</w:t>
      </w:r>
      <w:r>
        <w:rPr>
          <w:rFonts w:ascii="Century" w:hAnsi="Century" w:hint="eastAsia"/>
          <w:color w:val="000000" w:themeColor="text1"/>
          <w:sz w:val="22"/>
          <w:szCs w:val="24"/>
        </w:rPr>
        <w:t>容認できない。</w:t>
      </w:r>
    </w:p>
    <w:p w14:paraId="46A5C25B" w14:textId="73EAB2D0" w:rsidR="00521DAF" w:rsidRDefault="00521DAF" w:rsidP="00521DAF">
      <w:pPr>
        <w:rPr>
          <w:rFonts w:ascii="Century" w:hAnsi="Century"/>
          <w:color w:val="000000" w:themeColor="text1"/>
          <w:sz w:val="22"/>
          <w:szCs w:val="24"/>
        </w:rPr>
      </w:pPr>
      <w:r>
        <w:rPr>
          <w:rFonts w:ascii="Century" w:hAnsi="Century" w:hint="eastAsia"/>
          <w:color w:val="000000" w:themeColor="text1"/>
          <w:sz w:val="22"/>
          <w:szCs w:val="24"/>
        </w:rPr>
        <w:t>（２）認定基準・計画認可基準は「学問の自由」と「大学の自治」を脅かすものであり、容認できない</w:t>
      </w:r>
    </w:p>
    <w:p w14:paraId="27234B2F" w14:textId="77777777" w:rsidR="00521DAF" w:rsidRDefault="004A5C2D" w:rsidP="0019708B">
      <w:pPr>
        <w:ind w:firstLineChars="100" w:firstLine="210"/>
      </w:pPr>
      <w:r>
        <w:rPr>
          <w:rFonts w:hint="eastAsia"/>
        </w:rPr>
        <w:t>真理の探究は、自由な意見発表と批判の応酬の中で、集団的に真理に接近していく営みであり、権力者その他の者に支配されず、学問的誠実さのみに従って行われなければならない。それゆえに、日本国憲法において「学問の自由」を保障することが定められている。この「学問の自由」を組織的に具現化するものが「大学の自治」である。</w:t>
      </w:r>
    </w:p>
    <w:p w14:paraId="472F0A7C" w14:textId="05ED117D" w:rsidR="004A5C2D" w:rsidRDefault="006C55E9" w:rsidP="0019708B">
      <w:pPr>
        <w:ind w:firstLineChars="100" w:firstLine="220"/>
        <w:rPr>
          <w:rFonts w:ascii="Century" w:hAnsi="Century"/>
          <w:color w:val="000000" w:themeColor="text1"/>
          <w:sz w:val="22"/>
          <w:szCs w:val="24"/>
        </w:rPr>
      </w:pPr>
      <w:r>
        <w:rPr>
          <w:rFonts w:ascii="Century" w:hAnsi="Century" w:hint="eastAsia"/>
          <w:color w:val="000000" w:themeColor="text1"/>
          <w:sz w:val="22"/>
          <w:szCs w:val="24"/>
        </w:rPr>
        <w:t>しかし認定基準</w:t>
      </w:r>
      <w:r w:rsidR="0031029C">
        <w:rPr>
          <w:rFonts w:ascii="Century" w:hAnsi="Century" w:hint="eastAsia"/>
          <w:color w:val="000000" w:themeColor="text1"/>
          <w:sz w:val="22"/>
          <w:szCs w:val="24"/>
        </w:rPr>
        <w:t>・</w:t>
      </w:r>
      <w:r w:rsidR="00A03B06">
        <w:rPr>
          <w:rFonts w:ascii="Century" w:hAnsi="Century" w:hint="eastAsia"/>
          <w:color w:val="000000" w:themeColor="text1"/>
          <w:sz w:val="22"/>
          <w:szCs w:val="24"/>
        </w:rPr>
        <w:t>計画</w:t>
      </w:r>
      <w:r w:rsidR="0031029C">
        <w:rPr>
          <w:rFonts w:ascii="Century" w:hAnsi="Century" w:hint="eastAsia"/>
          <w:color w:val="000000" w:themeColor="text1"/>
          <w:sz w:val="22"/>
          <w:szCs w:val="24"/>
        </w:rPr>
        <w:t>認可基準</w:t>
      </w:r>
      <w:r>
        <w:rPr>
          <w:rFonts w:ascii="Century" w:hAnsi="Century" w:hint="eastAsia"/>
          <w:color w:val="000000" w:themeColor="text1"/>
          <w:sz w:val="22"/>
          <w:szCs w:val="24"/>
        </w:rPr>
        <w:t>は、</w:t>
      </w:r>
      <w:r w:rsidR="00A754FE">
        <w:rPr>
          <w:rFonts w:ascii="Century" w:hAnsi="Century" w:hint="eastAsia"/>
          <w:color w:val="000000" w:themeColor="text1"/>
          <w:sz w:val="22"/>
          <w:szCs w:val="24"/>
        </w:rPr>
        <w:t>学外者を含む「合議制の機関」が大学の</w:t>
      </w:r>
      <w:r w:rsidR="00B14534">
        <w:rPr>
          <w:rFonts w:ascii="Century" w:hAnsi="Century" w:hint="eastAsia"/>
          <w:color w:val="000000" w:themeColor="text1"/>
          <w:sz w:val="22"/>
          <w:szCs w:val="24"/>
        </w:rPr>
        <w:t>設置者を</w:t>
      </w:r>
      <w:r w:rsidR="00A754FE">
        <w:rPr>
          <w:rFonts w:ascii="Century" w:hAnsi="Century" w:hint="eastAsia"/>
          <w:color w:val="000000" w:themeColor="text1"/>
          <w:sz w:val="22"/>
          <w:szCs w:val="24"/>
        </w:rPr>
        <w:t>代表</w:t>
      </w:r>
      <w:r w:rsidR="00B14534">
        <w:rPr>
          <w:rFonts w:ascii="Century" w:hAnsi="Century" w:hint="eastAsia"/>
          <w:color w:val="000000" w:themeColor="text1"/>
          <w:sz w:val="22"/>
          <w:szCs w:val="24"/>
        </w:rPr>
        <w:t>する</w:t>
      </w:r>
      <w:r w:rsidR="00A754FE">
        <w:rPr>
          <w:rFonts w:ascii="Century" w:hAnsi="Century" w:hint="eastAsia"/>
          <w:color w:val="000000" w:themeColor="text1"/>
          <w:sz w:val="22"/>
          <w:szCs w:val="24"/>
        </w:rPr>
        <w:t>者の選解任</w:t>
      </w:r>
      <w:r w:rsidR="0031029C">
        <w:rPr>
          <w:rFonts w:ascii="Century" w:hAnsi="Century" w:hint="eastAsia"/>
          <w:color w:val="000000" w:themeColor="text1"/>
          <w:sz w:val="22"/>
          <w:szCs w:val="24"/>
        </w:rPr>
        <w:t>や、中長期の経営戦略、</w:t>
      </w:r>
      <w:r w:rsidR="00A754FE">
        <w:rPr>
          <w:rFonts w:ascii="Century" w:hAnsi="Century" w:hint="eastAsia"/>
          <w:color w:val="000000" w:themeColor="text1"/>
          <w:sz w:val="22"/>
          <w:szCs w:val="24"/>
        </w:rPr>
        <w:t>その他の</w:t>
      </w:r>
      <w:r w:rsidR="0031029C">
        <w:rPr>
          <w:rFonts w:ascii="Century" w:hAnsi="Century" w:hint="eastAsia"/>
          <w:color w:val="000000" w:themeColor="text1"/>
          <w:sz w:val="22"/>
          <w:szCs w:val="24"/>
        </w:rPr>
        <w:t>大学</w:t>
      </w:r>
      <w:r w:rsidR="00A754FE">
        <w:rPr>
          <w:rFonts w:ascii="Century" w:hAnsi="Century" w:hint="eastAsia"/>
          <w:color w:val="000000" w:themeColor="text1"/>
          <w:sz w:val="22"/>
          <w:szCs w:val="24"/>
        </w:rPr>
        <w:t>運営に関する重要事項を議決する権限を有すること</w:t>
      </w:r>
      <w:r w:rsidR="0031029C">
        <w:rPr>
          <w:rFonts w:ascii="Century" w:hAnsi="Century" w:hint="eastAsia"/>
          <w:color w:val="000000" w:themeColor="text1"/>
          <w:sz w:val="22"/>
          <w:szCs w:val="24"/>
        </w:rPr>
        <w:t>、教学担当役員（プロボスト）が教学事項の実質的責任者として権限を発揮することを要求する。</w:t>
      </w:r>
      <w:r w:rsidR="00A03B06">
        <w:rPr>
          <w:rFonts w:ascii="Century" w:hAnsi="Century" w:hint="eastAsia"/>
          <w:color w:val="000000" w:themeColor="text1"/>
          <w:sz w:val="22"/>
          <w:szCs w:val="24"/>
        </w:rPr>
        <w:t>また「体制強化計画」の実施状況は、内閣府の総合科学技術・イノベーシ</w:t>
      </w:r>
      <w:r w:rsidR="00A03B06">
        <w:rPr>
          <w:rFonts w:ascii="Century" w:hAnsi="Century" w:hint="eastAsia"/>
          <w:color w:val="000000" w:themeColor="text1"/>
          <w:sz w:val="22"/>
          <w:szCs w:val="24"/>
        </w:rPr>
        <w:lastRenderedPageBreak/>
        <w:t>ョン会議と文部科学大臣による評価を受けるものとしている。このような管理運営体制の下では、「学問の自由」と「大学の自治」は容易に脅かされ</w:t>
      </w:r>
      <w:r w:rsidR="009B4704">
        <w:rPr>
          <w:rFonts w:ascii="Century" w:hAnsi="Century" w:hint="eastAsia"/>
          <w:color w:val="000000" w:themeColor="text1"/>
          <w:sz w:val="22"/>
          <w:szCs w:val="24"/>
        </w:rPr>
        <w:t>、</w:t>
      </w:r>
      <w:r w:rsidR="009B4704" w:rsidRPr="006832E0">
        <w:rPr>
          <w:rFonts w:eastAsia="ＭＳ 明朝" w:cs="MS-Mincho"/>
          <w:kern w:val="0"/>
          <w:sz w:val="22"/>
        </w:rPr>
        <w:t>自治により学問の自由を擁護するという大学の使命を果たすことはいっそう困難になる</w:t>
      </w:r>
      <w:r w:rsidR="00A03B06">
        <w:rPr>
          <w:rFonts w:ascii="Century" w:hAnsi="Century" w:hint="eastAsia"/>
          <w:color w:val="000000" w:themeColor="text1"/>
          <w:sz w:val="22"/>
          <w:szCs w:val="24"/>
        </w:rPr>
        <w:t>。</w:t>
      </w:r>
      <w:r w:rsidR="000167C9">
        <w:rPr>
          <w:rFonts w:ascii="Century" w:hAnsi="Century" w:hint="eastAsia"/>
          <w:color w:val="000000" w:themeColor="text1"/>
          <w:sz w:val="22"/>
          <w:szCs w:val="24"/>
        </w:rPr>
        <w:t>よって</w:t>
      </w:r>
      <w:r w:rsidR="00A03B06">
        <w:rPr>
          <w:rFonts w:ascii="Century" w:hAnsi="Century" w:hint="eastAsia"/>
          <w:color w:val="000000" w:themeColor="text1"/>
          <w:sz w:val="22"/>
          <w:szCs w:val="24"/>
        </w:rPr>
        <w:t>容認できない。</w:t>
      </w:r>
    </w:p>
    <w:p w14:paraId="37A31B25" w14:textId="5D3ACA3E" w:rsidR="009B4704" w:rsidRDefault="009109A0" w:rsidP="009B4704">
      <w:pPr>
        <w:rPr>
          <w:rFonts w:ascii="Century" w:hAnsi="Century"/>
          <w:color w:val="000000" w:themeColor="text1"/>
          <w:sz w:val="22"/>
          <w:szCs w:val="24"/>
        </w:rPr>
      </w:pPr>
      <w:r>
        <w:rPr>
          <w:rFonts w:ascii="Century" w:hAnsi="Century" w:hint="eastAsia"/>
          <w:color w:val="000000" w:themeColor="text1"/>
          <w:sz w:val="22"/>
          <w:szCs w:val="24"/>
        </w:rPr>
        <w:t>（３）</w:t>
      </w:r>
      <w:r w:rsidR="00386E87">
        <w:rPr>
          <w:rFonts w:ascii="Century" w:hAnsi="Century" w:hint="eastAsia"/>
          <w:color w:val="000000" w:themeColor="text1"/>
          <w:sz w:val="22"/>
          <w:szCs w:val="24"/>
        </w:rPr>
        <w:t>経済的価値による学問分野の選別・序列化を招く</w:t>
      </w:r>
      <w:r w:rsidR="000167C9">
        <w:rPr>
          <w:rFonts w:ascii="Century" w:hAnsi="Century" w:hint="eastAsia"/>
          <w:color w:val="000000" w:themeColor="text1"/>
          <w:sz w:val="22"/>
          <w:szCs w:val="24"/>
        </w:rPr>
        <w:t>もの</w:t>
      </w:r>
      <w:r w:rsidR="00386E87">
        <w:rPr>
          <w:rFonts w:ascii="Century" w:hAnsi="Century" w:hint="eastAsia"/>
          <w:color w:val="000000" w:themeColor="text1"/>
          <w:sz w:val="22"/>
          <w:szCs w:val="24"/>
        </w:rPr>
        <w:t>であり、容認できない</w:t>
      </w:r>
    </w:p>
    <w:p w14:paraId="36309B4F" w14:textId="6B33462C" w:rsidR="00BE208B" w:rsidRDefault="00BE208B" w:rsidP="00BE208B">
      <w:pPr>
        <w:adjustRightInd w:val="0"/>
        <w:ind w:firstLineChars="100" w:firstLine="220"/>
        <w:jc w:val="left"/>
      </w:pPr>
      <w:r>
        <w:rPr>
          <w:rFonts w:eastAsia="ＭＳ 明朝" w:cs="MS-Mincho" w:hint="eastAsia"/>
          <w:kern w:val="0"/>
          <w:sz w:val="22"/>
        </w:rPr>
        <w:t>認定基準は、過去の研究実績として、直近</w:t>
      </w:r>
      <w:r>
        <w:rPr>
          <w:rFonts w:eastAsia="ＭＳ 明朝" w:cs="MS-Mincho" w:hint="eastAsia"/>
          <w:kern w:val="0"/>
          <w:sz w:val="22"/>
        </w:rPr>
        <w:t>5</w:t>
      </w:r>
      <w:r>
        <w:rPr>
          <w:rFonts w:eastAsia="ＭＳ 明朝" w:cs="MS-Mincho" w:hint="eastAsia"/>
          <w:kern w:val="0"/>
          <w:sz w:val="22"/>
        </w:rPr>
        <w:t>年間の「</w:t>
      </w:r>
      <w:r>
        <w:rPr>
          <w:rFonts w:hint="eastAsia"/>
        </w:rPr>
        <w:t>上位</w:t>
      </w:r>
      <w:r>
        <w:rPr>
          <w:rFonts w:hint="eastAsia"/>
        </w:rPr>
        <w:t>10</w:t>
      </w:r>
      <w:r>
        <w:rPr>
          <w:rFonts w:hint="eastAsia"/>
        </w:rPr>
        <w:t>％論文の数がおおむね</w:t>
      </w:r>
      <w:r>
        <w:rPr>
          <w:rFonts w:hint="eastAsia"/>
        </w:rPr>
        <w:t>1000</w:t>
      </w:r>
      <w:r>
        <w:rPr>
          <w:rFonts w:hint="eastAsia"/>
        </w:rPr>
        <w:t>本以上、かつ当該大学の総論文数に占める割合がおおむね</w:t>
      </w:r>
      <w:r>
        <w:rPr>
          <w:rFonts w:hint="eastAsia"/>
        </w:rPr>
        <w:t>10</w:t>
      </w:r>
      <w:r>
        <w:rPr>
          <w:rFonts w:hint="eastAsia"/>
        </w:rPr>
        <w:t>％以上」または「上位</w:t>
      </w:r>
      <w:r>
        <w:rPr>
          <w:rFonts w:hint="eastAsia"/>
        </w:rPr>
        <w:t>10</w:t>
      </w:r>
      <w:r>
        <w:rPr>
          <w:rFonts w:hint="eastAsia"/>
        </w:rPr>
        <w:t>％論文数の当該大学に属する教員一人当たり平均数がおおむね</w:t>
      </w:r>
      <w:r>
        <w:rPr>
          <w:rFonts w:hint="eastAsia"/>
        </w:rPr>
        <w:t>0.6</w:t>
      </w:r>
      <w:r>
        <w:rPr>
          <w:rFonts w:hint="eastAsia"/>
        </w:rPr>
        <w:t>以上」であることを要求する。しかし、学問分野により被引用数が</w:t>
      </w:r>
      <w:r w:rsidR="00BE7B70">
        <w:rPr>
          <w:rFonts w:hint="eastAsia"/>
        </w:rPr>
        <w:t>大きく</w:t>
      </w:r>
      <w:r>
        <w:rPr>
          <w:rFonts w:hint="eastAsia"/>
        </w:rPr>
        <w:t>異なること</w:t>
      </w:r>
      <w:r w:rsidR="00BE7B70">
        <w:rPr>
          <w:rFonts w:hint="eastAsia"/>
        </w:rPr>
        <w:t>、上位</w:t>
      </w:r>
      <w:r w:rsidR="00BE7B70">
        <w:rPr>
          <w:rFonts w:hint="eastAsia"/>
        </w:rPr>
        <w:t>10</w:t>
      </w:r>
      <w:r w:rsidR="00BE7B70">
        <w:rPr>
          <w:rFonts w:hint="eastAsia"/>
        </w:rPr>
        <w:t>％論文が理工系分野に偏重していること</w:t>
      </w:r>
      <w:r>
        <w:rPr>
          <w:rFonts w:hint="eastAsia"/>
        </w:rPr>
        <w:t>は周知の事実である。</w:t>
      </w:r>
    </w:p>
    <w:p w14:paraId="1C51B7BE" w14:textId="4C05914F" w:rsidR="009B4704" w:rsidRPr="006832E0" w:rsidRDefault="009B4704" w:rsidP="00BE208B">
      <w:pPr>
        <w:adjustRightInd w:val="0"/>
        <w:ind w:firstLineChars="100" w:firstLine="220"/>
        <w:jc w:val="left"/>
        <w:rPr>
          <w:rFonts w:eastAsia="ＭＳ 明朝"/>
        </w:rPr>
      </w:pPr>
      <w:r w:rsidRPr="006832E0">
        <w:rPr>
          <w:rFonts w:eastAsia="ＭＳ 明朝" w:cs="MS-Mincho"/>
          <w:kern w:val="0"/>
          <w:sz w:val="22"/>
        </w:rPr>
        <w:t>国際卓越研究大学が始動すれば、</w:t>
      </w:r>
      <w:r w:rsidR="00BE7B70">
        <w:rPr>
          <w:rFonts w:eastAsia="ＭＳ 明朝" w:cs="MS-Mincho" w:hint="eastAsia"/>
          <w:kern w:val="0"/>
          <w:sz w:val="22"/>
        </w:rPr>
        <w:t>資金投下を受けた</w:t>
      </w:r>
      <w:r w:rsidRPr="006832E0">
        <w:rPr>
          <w:rFonts w:eastAsia="ＭＳ 明朝" w:cs="MS-Mincho"/>
          <w:kern w:val="0"/>
          <w:sz w:val="22"/>
        </w:rPr>
        <w:t>「稼げる</w:t>
      </w:r>
      <w:r w:rsidR="00BE208B">
        <w:rPr>
          <w:rFonts w:eastAsia="ＭＳ 明朝" w:cs="MS-Mincho" w:hint="eastAsia"/>
          <w:kern w:val="0"/>
          <w:sz w:val="22"/>
        </w:rPr>
        <w:t>学問</w:t>
      </w:r>
      <w:r w:rsidRPr="006832E0">
        <w:rPr>
          <w:rFonts w:eastAsia="ＭＳ 明朝" w:cs="MS-Mincho"/>
          <w:kern w:val="0"/>
          <w:sz w:val="22"/>
        </w:rPr>
        <w:t>分野」</w:t>
      </w:r>
      <w:r w:rsidR="00BE7B70">
        <w:rPr>
          <w:rFonts w:eastAsia="ＭＳ 明朝" w:cs="MS-Mincho" w:hint="eastAsia"/>
          <w:kern w:val="0"/>
          <w:sz w:val="22"/>
        </w:rPr>
        <w:t>の論文生産数は向上し、</w:t>
      </w:r>
      <w:r w:rsidRPr="006832E0">
        <w:rPr>
          <w:rFonts w:eastAsia="ＭＳ 明朝" w:cs="MS-Mincho"/>
          <w:kern w:val="0"/>
          <w:sz w:val="22"/>
        </w:rPr>
        <w:t>そうでない</w:t>
      </w:r>
      <w:r>
        <w:rPr>
          <w:rFonts w:eastAsia="ＭＳ 明朝" w:cs="MS-Mincho" w:hint="eastAsia"/>
          <w:kern w:val="0"/>
          <w:sz w:val="22"/>
        </w:rPr>
        <w:t>学問</w:t>
      </w:r>
      <w:r w:rsidRPr="006832E0">
        <w:rPr>
          <w:rFonts w:eastAsia="ＭＳ 明朝" w:cs="MS-Mincho"/>
          <w:kern w:val="0"/>
          <w:sz w:val="22"/>
        </w:rPr>
        <w:t>分野との格差</w:t>
      </w:r>
      <w:r w:rsidR="00BE7B70">
        <w:rPr>
          <w:rFonts w:eastAsia="ＭＳ 明朝" w:cs="MS-Mincho" w:hint="eastAsia"/>
          <w:kern w:val="0"/>
          <w:sz w:val="22"/>
        </w:rPr>
        <w:t>が</w:t>
      </w:r>
      <w:r w:rsidRPr="006832E0">
        <w:rPr>
          <w:rFonts w:eastAsia="ＭＳ 明朝" w:cs="MS-Mincho"/>
          <w:kern w:val="0"/>
          <w:sz w:val="22"/>
        </w:rPr>
        <w:t>拡大する。金銭的な価値基準による学問分野の選別、序列化</w:t>
      </w:r>
      <w:r w:rsidR="00BE208B">
        <w:rPr>
          <w:rFonts w:eastAsia="ＭＳ 明朝" w:cs="MS-Mincho" w:hint="eastAsia"/>
          <w:kern w:val="0"/>
          <w:sz w:val="22"/>
        </w:rPr>
        <w:t>、「稼げない学問分野」の衰退</w:t>
      </w:r>
      <w:r w:rsidRPr="006832E0">
        <w:rPr>
          <w:rFonts w:eastAsia="ＭＳ 明朝" w:cs="MS-Mincho"/>
          <w:kern w:val="0"/>
          <w:sz w:val="22"/>
        </w:rPr>
        <w:t>が進行</w:t>
      </w:r>
      <w:r w:rsidR="000167C9">
        <w:rPr>
          <w:rFonts w:eastAsia="ＭＳ 明朝" w:cs="MS-Mincho" w:hint="eastAsia"/>
          <w:kern w:val="0"/>
          <w:sz w:val="22"/>
        </w:rPr>
        <w:t>し、学術全体の発展が阻害される</w:t>
      </w:r>
      <w:r w:rsidRPr="006832E0">
        <w:rPr>
          <w:rFonts w:eastAsia="ＭＳ 明朝" w:cs="MS-Mincho"/>
          <w:kern w:val="0"/>
          <w:sz w:val="22"/>
        </w:rPr>
        <w:t>ことは避けられない。</w:t>
      </w:r>
      <w:r w:rsidR="000167C9">
        <w:rPr>
          <w:rFonts w:eastAsia="ＭＳ 明朝" w:cs="MS-Mincho" w:hint="eastAsia"/>
          <w:kern w:val="0"/>
          <w:sz w:val="22"/>
        </w:rPr>
        <w:t>よって</w:t>
      </w:r>
      <w:r w:rsidR="00BE208B">
        <w:rPr>
          <w:rFonts w:eastAsia="ＭＳ 明朝" w:cs="MS-Mincho" w:hint="eastAsia"/>
          <w:kern w:val="0"/>
          <w:sz w:val="22"/>
        </w:rPr>
        <w:t>容認できない。</w:t>
      </w:r>
    </w:p>
    <w:p w14:paraId="17AE7F2E" w14:textId="77777777" w:rsidR="009B4704" w:rsidRPr="004A5C2D" w:rsidRDefault="009B4704" w:rsidP="009B4704"/>
    <w:p w14:paraId="047DA33F" w14:textId="7EEEAEBC" w:rsidR="00FB1D3F" w:rsidRDefault="00FB1D3F"/>
    <w:sectPr w:rsidR="00FB1D3F" w:rsidSect="00453B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E13" w14:textId="77777777" w:rsidR="00BD7FD3" w:rsidRDefault="00BD7FD3" w:rsidP="0019708B">
      <w:r>
        <w:separator/>
      </w:r>
    </w:p>
  </w:endnote>
  <w:endnote w:type="continuationSeparator" w:id="0">
    <w:p w14:paraId="487618F0" w14:textId="77777777" w:rsidR="00BD7FD3" w:rsidRDefault="00BD7FD3" w:rsidP="0019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6F0" w14:textId="77777777" w:rsidR="00BD7FD3" w:rsidRDefault="00BD7FD3" w:rsidP="0019708B">
      <w:r>
        <w:separator/>
      </w:r>
    </w:p>
  </w:footnote>
  <w:footnote w:type="continuationSeparator" w:id="0">
    <w:p w14:paraId="43824041" w14:textId="77777777" w:rsidR="00BD7FD3" w:rsidRDefault="00BD7FD3" w:rsidP="0019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959"/>
    <w:multiLevelType w:val="hybridMultilevel"/>
    <w:tmpl w:val="1F36D7B2"/>
    <w:lvl w:ilvl="0" w:tplc="9FA05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20036F"/>
    <w:multiLevelType w:val="hybridMultilevel"/>
    <w:tmpl w:val="086C51EA"/>
    <w:lvl w:ilvl="0" w:tplc="A18E7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1619382">
    <w:abstractNumId w:val="1"/>
  </w:num>
  <w:num w:numId="2" w16cid:durableId="139821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E0"/>
    <w:rsid w:val="000167C9"/>
    <w:rsid w:val="000B1FB6"/>
    <w:rsid w:val="000E39F2"/>
    <w:rsid w:val="000F43F1"/>
    <w:rsid w:val="0019708B"/>
    <w:rsid w:val="001B3231"/>
    <w:rsid w:val="00250426"/>
    <w:rsid w:val="002D7541"/>
    <w:rsid w:val="0031029C"/>
    <w:rsid w:val="00386E87"/>
    <w:rsid w:val="00453BDB"/>
    <w:rsid w:val="0046590A"/>
    <w:rsid w:val="004A5C2D"/>
    <w:rsid w:val="00521DAF"/>
    <w:rsid w:val="005A6C05"/>
    <w:rsid w:val="006632C1"/>
    <w:rsid w:val="006832E0"/>
    <w:rsid w:val="00685146"/>
    <w:rsid w:val="006C55E9"/>
    <w:rsid w:val="007709E5"/>
    <w:rsid w:val="00793FF0"/>
    <w:rsid w:val="009109A0"/>
    <w:rsid w:val="009B4704"/>
    <w:rsid w:val="009D3809"/>
    <w:rsid w:val="00A03B06"/>
    <w:rsid w:val="00A30A39"/>
    <w:rsid w:val="00A42CB6"/>
    <w:rsid w:val="00A754FE"/>
    <w:rsid w:val="00B14534"/>
    <w:rsid w:val="00B457BC"/>
    <w:rsid w:val="00BB41E2"/>
    <w:rsid w:val="00BD7FD3"/>
    <w:rsid w:val="00BE208B"/>
    <w:rsid w:val="00BE7B70"/>
    <w:rsid w:val="00C0624A"/>
    <w:rsid w:val="00C65F14"/>
    <w:rsid w:val="00CE1B9F"/>
    <w:rsid w:val="00D139A5"/>
    <w:rsid w:val="00DE7D18"/>
    <w:rsid w:val="00E41C89"/>
    <w:rsid w:val="00FB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870AC"/>
  <w15:chartTrackingRefBased/>
  <w15:docId w15:val="{4BCF9C73-9D48-4EF6-A911-5708C1D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D3F"/>
    <w:pPr>
      <w:ind w:leftChars="400" w:left="840"/>
    </w:pPr>
  </w:style>
  <w:style w:type="paragraph" w:styleId="a4">
    <w:name w:val="header"/>
    <w:basedOn w:val="a"/>
    <w:link w:val="a5"/>
    <w:uiPriority w:val="99"/>
    <w:unhideWhenUsed/>
    <w:rsid w:val="0019708B"/>
    <w:pPr>
      <w:tabs>
        <w:tab w:val="center" w:pos="4252"/>
        <w:tab w:val="right" w:pos="8504"/>
      </w:tabs>
      <w:snapToGrid w:val="0"/>
    </w:pPr>
  </w:style>
  <w:style w:type="character" w:customStyle="1" w:styleId="a5">
    <w:name w:val="ヘッダー (文字)"/>
    <w:basedOn w:val="a0"/>
    <w:link w:val="a4"/>
    <w:uiPriority w:val="99"/>
    <w:rsid w:val="0019708B"/>
  </w:style>
  <w:style w:type="paragraph" w:styleId="a6">
    <w:name w:val="footer"/>
    <w:basedOn w:val="a"/>
    <w:link w:val="a7"/>
    <w:uiPriority w:val="99"/>
    <w:unhideWhenUsed/>
    <w:rsid w:val="0019708B"/>
    <w:pPr>
      <w:tabs>
        <w:tab w:val="center" w:pos="4252"/>
        <w:tab w:val="right" w:pos="8504"/>
      </w:tabs>
      <w:snapToGrid w:val="0"/>
    </w:pPr>
  </w:style>
  <w:style w:type="character" w:customStyle="1" w:styleId="a7">
    <w:name w:val="フッター (文字)"/>
    <w:basedOn w:val="a0"/>
    <w:link w:val="a6"/>
    <w:uiPriority w:val="99"/>
    <w:rsid w:val="001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5</cp:revision>
  <cp:lastPrinted>2022-09-25T06:06:00Z</cp:lastPrinted>
  <dcterms:created xsi:type="dcterms:W3CDTF">2022-10-05T03:59:00Z</dcterms:created>
  <dcterms:modified xsi:type="dcterms:W3CDTF">2022-10-13T10:17:00Z</dcterms:modified>
</cp:coreProperties>
</file>